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6" w:rsidRPr="004F667D" w:rsidRDefault="001B3596" w:rsidP="00E53B7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67D">
        <w:rPr>
          <w:rFonts w:ascii="Times New Roman" w:hAnsi="Times New Roman" w:cs="Times New Roman"/>
          <w:b/>
          <w:sz w:val="32"/>
          <w:szCs w:val="32"/>
        </w:rPr>
        <w:t>Faire cas de la clinique</w:t>
      </w:r>
    </w:p>
    <w:p w:rsidR="001B3596" w:rsidRDefault="001B3596" w:rsidP="00E53B7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667D" w:rsidRPr="00494525" w:rsidRDefault="004F667D" w:rsidP="00E53B7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B3596" w:rsidRPr="00494525" w:rsidRDefault="001B3596" w:rsidP="00E53B7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94525">
        <w:rPr>
          <w:rFonts w:ascii="Times New Roman" w:hAnsi="Times New Roman" w:cs="Times New Roman"/>
          <w:b/>
        </w:rPr>
        <w:t>Journée de travail de l’association Encore</w:t>
      </w:r>
    </w:p>
    <w:p w:rsidR="001B3596" w:rsidRPr="004F667D" w:rsidRDefault="001B3596" w:rsidP="004F667D">
      <w:pPr>
        <w:spacing w:line="276" w:lineRule="auto"/>
        <w:jc w:val="center"/>
        <w:rPr>
          <w:rFonts w:ascii="Times New Roman" w:hAnsi="Times New Roman" w:cs="Times New Roman"/>
        </w:rPr>
      </w:pPr>
      <w:r w:rsidRPr="004F667D">
        <w:rPr>
          <w:rFonts w:ascii="Times New Roman" w:hAnsi="Times New Roman" w:cs="Times New Roman"/>
        </w:rPr>
        <w:t>Lyon le 5 octobre 2013</w:t>
      </w:r>
    </w:p>
    <w:p w:rsidR="00B270E5" w:rsidRPr="004F667D" w:rsidRDefault="004F667D" w:rsidP="00E53B7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10h-18</w:t>
      </w:r>
      <w:r w:rsidR="00B270E5" w:rsidRPr="004F667D">
        <w:rPr>
          <w:rFonts w:ascii="Times New Roman" w:hAnsi="Times New Roman" w:cs="Times New Roman"/>
        </w:rPr>
        <w:t>h</w:t>
      </w:r>
    </w:p>
    <w:p w:rsidR="004F667D" w:rsidRDefault="004F667D" w:rsidP="00E53B7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Agora Tête d’Or</w:t>
      </w:r>
      <w:r w:rsidRPr="004F667D">
        <w:rPr>
          <w:rFonts w:ascii="Times New Roman" w:hAnsi="Times New Roman" w:cs="Times New Roman"/>
        </w:rPr>
        <w:t xml:space="preserve"> </w:t>
      </w:r>
    </w:p>
    <w:p w:rsidR="004F667D" w:rsidRDefault="004F667D" w:rsidP="00E53B75">
      <w:pPr>
        <w:spacing w:line="276" w:lineRule="auto"/>
        <w:jc w:val="center"/>
        <w:rPr>
          <w:rFonts w:ascii="Times New Roman" w:hAnsi="Times New Roman" w:cs="Times New Roman"/>
        </w:rPr>
      </w:pPr>
      <w:r w:rsidRPr="004F667D">
        <w:rPr>
          <w:rFonts w:ascii="Times New Roman" w:hAnsi="Times New Roman" w:cs="Times New Roman"/>
        </w:rPr>
        <w:t>93, rue Tête d’Or 69006 Lyon</w:t>
      </w:r>
      <w:r>
        <w:rPr>
          <w:rStyle w:val="Appelnotedebasdep"/>
          <w:rFonts w:ascii="Times New Roman" w:hAnsi="Times New Roman" w:cs="Times New Roman"/>
        </w:rPr>
        <w:footnoteReference w:id="1"/>
      </w:r>
    </w:p>
    <w:p w:rsidR="004F667D" w:rsidRPr="004F667D" w:rsidRDefault="004F667D" w:rsidP="00E53B7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667D">
        <w:rPr>
          <w:rFonts w:ascii="Times New Roman" w:hAnsi="Times New Roman" w:cs="Times New Roman"/>
          <w:b/>
        </w:rPr>
        <w:t>Entrée libre</w:t>
      </w:r>
    </w:p>
    <w:p w:rsidR="004F667D" w:rsidRDefault="004F667D" w:rsidP="00E53B75">
      <w:pPr>
        <w:spacing w:line="276" w:lineRule="auto"/>
        <w:jc w:val="center"/>
        <w:rPr>
          <w:rFonts w:ascii="Times New Roman" w:hAnsi="Times New Roman" w:cs="Times New Roman"/>
        </w:rPr>
      </w:pPr>
    </w:p>
    <w:p w:rsidR="001B3596" w:rsidRPr="004F667D" w:rsidRDefault="001B3596" w:rsidP="00E53B75">
      <w:pPr>
        <w:spacing w:line="276" w:lineRule="auto"/>
        <w:jc w:val="both"/>
        <w:rPr>
          <w:rFonts w:ascii="Times New Roman" w:hAnsi="Times New Roman" w:cs="Times New Roman"/>
        </w:rPr>
      </w:pPr>
    </w:p>
    <w:p w:rsidR="00043A59" w:rsidRPr="00494525" w:rsidRDefault="00043A59" w:rsidP="00E53B75">
      <w:pPr>
        <w:spacing w:line="276" w:lineRule="auto"/>
        <w:rPr>
          <w:rFonts w:ascii="Times New Roman" w:hAnsi="Times New Roman" w:cs="Times New Roman"/>
        </w:rPr>
      </w:pPr>
    </w:p>
    <w:p w:rsidR="001B3596" w:rsidRPr="00494525" w:rsidRDefault="001B3596" w:rsidP="00E53B75">
      <w:pPr>
        <w:spacing w:line="276" w:lineRule="auto"/>
        <w:rPr>
          <w:rFonts w:ascii="Times New Roman" w:hAnsi="Times New Roman" w:cs="Times New Roman"/>
        </w:rPr>
      </w:pPr>
    </w:p>
    <w:p w:rsidR="001B3596" w:rsidRPr="00494525" w:rsidRDefault="00724A85" w:rsidP="00E53B75">
      <w:pPr>
        <w:spacing w:line="276" w:lineRule="auto"/>
        <w:jc w:val="both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 xml:space="preserve">Comment rendre compte de la clinique psychanalytique ? </w:t>
      </w:r>
      <w:r w:rsidR="001C3D0A" w:rsidRPr="00494525">
        <w:rPr>
          <w:rFonts w:ascii="Times New Roman" w:hAnsi="Times New Roman" w:cs="Times New Roman"/>
        </w:rPr>
        <w:t xml:space="preserve">Dans un souci de transmission, de nombreux psychanalystes </w:t>
      </w:r>
      <w:r w:rsidR="005E5319" w:rsidRPr="00494525">
        <w:rPr>
          <w:rFonts w:ascii="Times New Roman" w:hAnsi="Times New Roman" w:cs="Times New Roman"/>
        </w:rPr>
        <w:t xml:space="preserve">choisissent de </w:t>
      </w:r>
      <w:r w:rsidR="001C3D0A" w:rsidRPr="00494525">
        <w:rPr>
          <w:rFonts w:ascii="Times New Roman" w:hAnsi="Times New Roman" w:cs="Times New Roman"/>
        </w:rPr>
        <w:t>faire des vignettes cliniques. Mais parce qu’elles mettent l’analyste en position de savoir, ces vignettes ont l’inconvénient de ne pas être cohérentes avec l’acte analytique</w:t>
      </w:r>
      <w:r w:rsidR="009F5599" w:rsidRPr="00494525">
        <w:rPr>
          <w:rFonts w:ascii="Times New Roman" w:hAnsi="Times New Roman" w:cs="Times New Roman"/>
        </w:rPr>
        <w:t xml:space="preserve"> tel que Lacan l’a défini</w:t>
      </w:r>
      <w:r w:rsidR="001C3D0A" w:rsidRPr="00494525">
        <w:rPr>
          <w:rFonts w:ascii="Times New Roman" w:hAnsi="Times New Roman" w:cs="Times New Roman"/>
        </w:rPr>
        <w:t xml:space="preserve">. </w:t>
      </w:r>
      <w:r w:rsidR="009F5599" w:rsidRPr="00494525">
        <w:rPr>
          <w:rFonts w:ascii="Times New Roman" w:hAnsi="Times New Roman" w:cs="Times New Roman"/>
        </w:rPr>
        <w:t>Lui-même</w:t>
      </w:r>
      <w:r w:rsidRPr="00494525">
        <w:rPr>
          <w:rFonts w:ascii="Times New Roman" w:hAnsi="Times New Roman" w:cs="Times New Roman"/>
        </w:rPr>
        <w:t xml:space="preserve"> répondait à cette difficulté en s’incluant dans les cas (comme par exemple dans son hommage à Marguerit</w:t>
      </w:r>
      <w:r w:rsidR="007F3B70" w:rsidRPr="00494525">
        <w:rPr>
          <w:rFonts w:ascii="Times New Roman" w:hAnsi="Times New Roman" w:cs="Times New Roman"/>
        </w:rPr>
        <w:t xml:space="preserve">e Duras), cohérent en cela avec son idée que </w:t>
      </w:r>
      <w:r w:rsidRPr="00494525">
        <w:rPr>
          <w:rFonts w:ascii="Times New Roman" w:hAnsi="Times New Roman" w:cs="Times New Roman"/>
        </w:rPr>
        <w:t xml:space="preserve">l’analyste est moitié de symptôme. </w:t>
      </w:r>
      <w:r w:rsidR="00560A6F" w:rsidRPr="00494525">
        <w:rPr>
          <w:rFonts w:ascii="Times New Roman" w:hAnsi="Times New Roman" w:cs="Times New Roman"/>
        </w:rPr>
        <w:t xml:space="preserve">Et avec la topologie des nœuds, </w:t>
      </w:r>
      <w:r w:rsidR="007F3B70" w:rsidRPr="00494525">
        <w:rPr>
          <w:rFonts w:ascii="Times New Roman" w:hAnsi="Times New Roman" w:cs="Times New Roman"/>
        </w:rPr>
        <w:t>Lacan</w:t>
      </w:r>
      <w:r w:rsidR="00560A6F" w:rsidRPr="00494525">
        <w:rPr>
          <w:rFonts w:ascii="Times New Roman" w:hAnsi="Times New Roman" w:cs="Times New Roman"/>
        </w:rPr>
        <w:t xml:space="preserve"> visait un autre mode de transmission de la clinique analytique, aussi loin que possible du récit linéaire forcément psychologisant. </w:t>
      </w:r>
    </w:p>
    <w:p w:rsidR="00A8737E" w:rsidRPr="00494525" w:rsidRDefault="00D13F4A" w:rsidP="00E53B75">
      <w:pPr>
        <w:spacing w:line="276" w:lineRule="auto"/>
        <w:jc w:val="both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>Aujourd’hui, comment parlons-nous de la clinique psychanalytique</w:t>
      </w:r>
      <w:r w:rsidR="009F5599" w:rsidRPr="00494525">
        <w:rPr>
          <w:rFonts w:ascii="Times New Roman" w:hAnsi="Times New Roman" w:cs="Times New Roman"/>
        </w:rPr>
        <w:t>, comment en faisons-nous cas</w:t>
      </w:r>
      <w:r w:rsidRPr="00494525">
        <w:rPr>
          <w:rFonts w:ascii="Times New Roman" w:hAnsi="Times New Roman" w:cs="Times New Roman"/>
        </w:rPr>
        <w:t xml:space="preserve"> ? Le style de </w:t>
      </w:r>
      <w:r w:rsidRPr="00494525">
        <w:rPr>
          <w:rFonts w:ascii="Times New Roman" w:hAnsi="Times New Roman" w:cs="Times New Roman"/>
          <w:i/>
        </w:rPr>
        <w:t>parler clinique</w:t>
      </w:r>
      <w:r w:rsidRPr="00494525">
        <w:rPr>
          <w:rFonts w:ascii="Times New Roman" w:hAnsi="Times New Roman" w:cs="Times New Roman"/>
        </w:rPr>
        <w:t xml:space="preserve"> est-il lié au style d’une institution analytique ? Quelles sont les différences sur ce point entre les nombreuses associations ou écoles de psychanalyse aujourd’hui ? </w:t>
      </w:r>
    </w:p>
    <w:p w:rsidR="00D13F4A" w:rsidRPr="00494525" w:rsidRDefault="007F3B70" w:rsidP="00E53B75">
      <w:pPr>
        <w:spacing w:line="276" w:lineRule="auto"/>
        <w:jc w:val="both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>Nous souhaitons également parler de ce qui se transmet au sein des institutions de soin où travaille</w:t>
      </w:r>
      <w:r w:rsidR="00A8737E" w:rsidRPr="00494525">
        <w:rPr>
          <w:rFonts w:ascii="Times New Roman" w:hAnsi="Times New Roman" w:cs="Times New Roman"/>
        </w:rPr>
        <w:t xml:space="preserve">nt des analystes (CMP, </w:t>
      </w:r>
      <w:r w:rsidR="008B14D8" w:rsidRPr="00494525">
        <w:rPr>
          <w:rFonts w:ascii="Times New Roman" w:hAnsi="Times New Roman" w:cs="Times New Roman"/>
        </w:rPr>
        <w:t>CMPP ou autres lieux)</w:t>
      </w:r>
      <w:r w:rsidR="001C3D0A" w:rsidRPr="00494525">
        <w:rPr>
          <w:rFonts w:ascii="Times New Roman" w:hAnsi="Times New Roman" w:cs="Times New Roman"/>
        </w:rPr>
        <w:t>,</w:t>
      </w:r>
      <w:r w:rsidR="008B14D8" w:rsidRPr="00494525">
        <w:rPr>
          <w:rFonts w:ascii="Times New Roman" w:hAnsi="Times New Roman" w:cs="Times New Roman"/>
        </w:rPr>
        <w:t xml:space="preserve"> ainsi que des différents dispositifs où l’on peut parler d’une clinique no</w:t>
      </w:r>
      <w:r w:rsidR="001C3D0A" w:rsidRPr="00494525">
        <w:rPr>
          <w:rFonts w:ascii="Times New Roman" w:hAnsi="Times New Roman" w:cs="Times New Roman"/>
        </w:rPr>
        <w:t xml:space="preserve">n référable à un seul auteur, </w:t>
      </w:r>
      <w:r w:rsidR="008B14D8" w:rsidRPr="00494525">
        <w:rPr>
          <w:rFonts w:ascii="Times New Roman" w:hAnsi="Times New Roman" w:cs="Times New Roman"/>
        </w:rPr>
        <w:t xml:space="preserve">comme </w:t>
      </w:r>
      <w:r w:rsidR="001C3D0A" w:rsidRPr="00494525">
        <w:rPr>
          <w:rFonts w:ascii="Times New Roman" w:hAnsi="Times New Roman" w:cs="Times New Roman"/>
        </w:rPr>
        <w:t xml:space="preserve">par exemple </w:t>
      </w:r>
      <w:r w:rsidR="008B14D8" w:rsidRPr="00494525">
        <w:rPr>
          <w:rFonts w:ascii="Times New Roman" w:hAnsi="Times New Roman" w:cs="Times New Roman"/>
        </w:rPr>
        <w:t>la présentation de malades</w:t>
      </w:r>
      <w:r w:rsidR="001C3D0A" w:rsidRPr="00494525">
        <w:rPr>
          <w:rFonts w:ascii="Times New Roman" w:hAnsi="Times New Roman" w:cs="Times New Roman"/>
        </w:rPr>
        <w:t xml:space="preserve"> ou le dispositif de la passe.</w:t>
      </w:r>
    </w:p>
    <w:p w:rsidR="001B3596" w:rsidRPr="00494525" w:rsidRDefault="001B3596" w:rsidP="00E53B75">
      <w:pPr>
        <w:spacing w:line="276" w:lineRule="auto"/>
        <w:rPr>
          <w:rFonts w:ascii="Times New Roman" w:hAnsi="Times New Roman" w:cs="Times New Roman"/>
        </w:rPr>
      </w:pPr>
    </w:p>
    <w:p w:rsidR="001B3596" w:rsidRPr="00494525" w:rsidRDefault="001B3596" w:rsidP="00E53B75">
      <w:pPr>
        <w:spacing w:line="276" w:lineRule="auto"/>
        <w:rPr>
          <w:rFonts w:ascii="Times New Roman" w:hAnsi="Times New Roman" w:cs="Times New Roman"/>
        </w:rPr>
      </w:pPr>
    </w:p>
    <w:p w:rsidR="001B3596" w:rsidRPr="00494525" w:rsidRDefault="001B3596" w:rsidP="00E53B75">
      <w:pPr>
        <w:spacing w:line="276" w:lineRule="auto"/>
        <w:jc w:val="center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>____________</w:t>
      </w:r>
    </w:p>
    <w:p w:rsidR="001B3596" w:rsidRPr="00494525" w:rsidRDefault="001B3596" w:rsidP="00E53B75">
      <w:pPr>
        <w:spacing w:line="276" w:lineRule="auto"/>
        <w:rPr>
          <w:rFonts w:ascii="Times New Roman" w:hAnsi="Times New Roman" w:cs="Times New Roman"/>
        </w:rPr>
      </w:pPr>
    </w:p>
    <w:p w:rsidR="001B3596" w:rsidRPr="00494525" w:rsidRDefault="00A83D60" w:rsidP="00E53B75">
      <w:pPr>
        <w:spacing w:line="276" w:lineRule="auto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 xml:space="preserve">Journée de travail de </w:t>
      </w:r>
      <w:r w:rsidR="00E53B75" w:rsidRPr="00494525">
        <w:rPr>
          <w:rFonts w:ascii="Times New Roman" w:hAnsi="Times New Roman" w:cs="Times New Roman"/>
        </w:rPr>
        <w:t xml:space="preserve">10h à </w:t>
      </w:r>
      <w:r w:rsidR="001B3596" w:rsidRPr="00494525">
        <w:rPr>
          <w:rFonts w:ascii="Times New Roman" w:hAnsi="Times New Roman" w:cs="Times New Roman"/>
        </w:rPr>
        <w:t>18h</w:t>
      </w:r>
    </w:p>
    <w:p w:rsidR="00DE0901" w:rsidRPr="00494525" w:rsidRDefault="00DE0901" w:rsidP="00E53B75">
      <w:pPr>
        <w:spacing w:line="276" w:lineRule="auto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>Présentation de la journée par Nicole Bernard</w:t>
      </w:r>
    </w:p>
    <w:p w:rsidR="001B3596" w:rsidRPr="00494525" w:rsidRDefault="001B3596" w:rsidP="00E53B75">
      <w:pPr>
        <w:spacing w:line="276" w:lineRule="auto"/>
        <w:rPr>
          <w:rFonts w:ascii="Times New Roman" w:hAnsi="Times New Roman" w:cs="Times New Roman"/>
        </w:rPr>
      </w:pPr>
    </w:p>
    <w:p w:rsidR="00494525" w:rsidRPr="004F667D" w:rsidRDefault="00494525" w:rsidP="00494525">
      <w:pPr>
        <w:spacing w:line="276" w:lineRule="auto"/>
        <w:rPr>
          <w:rFonts w:ascii="Times New Roman" w:hAnsi="Times New Roman" w:cs="Times New Roman"/>
          <w:b/>
        </w:rPr>
      </w:pPr>
      <w:r w:rsidRPr="004F667D">
        <w:rPr>
          <w:rFonts w:ascii="Times New Roman" w:hAnsi="Times New Roman" w:cs="Times New Roman"/>
          <w:b/>
        </w:rPr>
        <w:t>Matinée :</w:t>
      </w:r>
    </w:p>
    <w:p w:rsidR="00494525" w:rsidRPr="00494525" w:rsidRDefault="00494525" w:rsidP="00494525">
      <w:pPr>
        <w:spacing w:line="276" w:lineRule="auto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>- Edit Mac Clay : « ... Ce que l'on appelle improprement la clinique »</w:t>
      </w:r>
    </w:p>
    <w:p w:rsidR="00494525" w:rsidRPr="00494525" w:rsidRDefault="00494525" w:rsidP="00494525">
      <w:pPr>
        <w:spacing w:line="276" w:lineRule="auto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 xml:space="preserve">- Marie-France </w:t>
      </w:r>
      <w:proofErr w:type="spellStart"/>
      <w:r w:rsidRPr="00494525">
        <w:rPr>
          <w:rFonts w:ascii="Times New Roman" w:hAnsi="Times New Roman" w:cs="Times New Roman"/>
        </w:rPr>
        <w:t>Dalmas</w:t>
      </w:r>
      <w:proofErr w:type="spellEnd"/>
      <w:r w:rsidRPr="00494525">
        <w:rPr>
          <w:rFonts w:ascii="Times New Roman" w:hAnsi="Times New Roman" w:cs="Times New Roman"/>
        </w:rPr>
        <w:t xml:space="preserve"> : « Pour une clinique de la mésologie : aire de jeu de l'entre-deux pour une mise en scène de la division »</w:t>
      </w:r>
    </w:p>
    <w:p w:rsidR="00494525" w:rsidRPr="00494525" w:rsidRDefault="00494525" w:rsidP="00494525">
      <w:pPr>
        <w:spacing w:line="276" w:lineRule="auto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>- Nicolas Guérin : « L'avarice du réaliste, le cas et la cause »</w:t>
      </w:r>
    </w:p>
    <w:p w:rsidR="00494525" w:rsidRPr="00494525" w:rsidRDefault="00494525" w:rsidP="00494525">
      <w:pPr>
        <w:spacing w:line="276" w:lineRule="auto"/>
        <w:rPr>
          <w:rFonts w:ascii="Times New Roman" w:hAnsi="Times New Roman" w:cs="Times New Roman"/>
        </w:rPr>
      </w:pPr>
    </w:p>
    <w:p w:rsidR="00494525" w:rsidRPr="004F667D" w:rsidRDefault="00494525" w:rsidP="00494525">
      <w:pPr>
        <w:spacing w:line="276" w:lineRule="auto"/>
        <w:rPr>
          <w:rFonts w:ascii="Times New Roman" w:hAnsi="Times New Roman" w:cs="Times New Roman"/>
          <w:b/>
        </w:rPr>
      </w:pPr>
      <w:r w:rsidRPr="004F667D">
        <w:rPr>
          <w:rFonts w:ascii="Times New Roman" w:hAnsi="Times New Roman" w:cs="Times New Roman"/>
          <w:b/>
        </w:rPr>
        <w:lastRenderedPageBreak/>
        <w:t xml:space="preserve">Après-midi : </w:t>
      </w:r>
    </w:p>
    <w:p w:rsidR="00494525" w:rsidRPr="00494525" w:rsidRDefault="00494525" w:rsidP="00494525">
      <w:pPr>
        <w:spacing w:line="276" w:lineRule="auto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 xml:space="preserve">- Vincent </w:t>
      </w:r>
      <w:proofErr w:type="spellStart"/>
      <w:r w:rsidRPr="00494525">
        <w:rPr>
          <w:rFonts w:ascii="Times New Roman" w:hAnsi="Times New Roman" w:cs="Times New Roman"/>
        </w:rPr>
        <w:t>Clavurier</w:t>
      </w:r>
      <w:proofErr w:type="spellEnd"/>
      <w:r w:rsidRPr="00494525">
        <w:rPr>
          <w:rFonts w:ascii="Times New Roman" w:hAnsi="Times New Roman" w:cs="Times New Roman"/>
        </w:rPr>
        <w:t xml:space="preserve"> : « Entre totem et tabou. Quelle littérature pour la clinique psychanalytique ? »</w:t>
      </w:r>
    </w:p>
    <w:p w:rsidR="00494525" w:rsidRPr="00494525" w:rsidRDefault="00494525" w:rsidP="00494525">
      <w:pPr>
        <w:spacing w:line="276" w:lineRule="auto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 xml:space="preserve">- Catherine </w:t>
      </w:r>
      <w:proofErr w:type="spellStart"/>
      <w:r w:rsidRPr="00494525">
        <w:rPr>
          <w:rFonts w:ascii="Times New Roman" w:hAnsi="Times New Roman" w:cs="Times New Roman"/>
        </w:rPr>
        <w:t>Gumuschian</w:t>
      </w:r>
      <w:proofErr w:type="spellEnd"/>
      <w:r w:rsidRPr="00494525">
        <w:rPr>
          <w:rFonts w:ascii="Times New Roman" w:hAnsi="Times New Roman" w:cs="Times New Roman"/>
        </w:rPr>
        <w:t xml:space="preserve"> : « D’une clinique spectaculaire »</w:t>
      </w:r>
    </w:p>
    <w:p w:rsidR="00494525" w:rsidRPr="00494525" w:rsidRDefault="00494525" w:rsidP="00494525">
      <w:pPr>
        <w:spacing w:line="276" w:lineRule="auto"/>
        <w:rPr>
          <w:rFonts w:ascii="Times New Roman" w:hAnsi="Times New Roman" w:cs="Times New Roman"/>
        </w:rPr>
      </w:pPr>
      <w:r w:rsidRPr="00494525">
        <w:rPr>
          <w:rFonts w:ascii="Times New Roman" w:hAnsi="Times New Roman" w:cs="Times New Roman"/>
        </w:rPr>
        <w:t xml:space="preserve">- Yann </w:t>
      </w:r>
      <w:proofErr w:type="spellStart"/>
      <w:r w:rsidRPr="00494525">
        <w:rPr>
          <w:rFonts w:ascii="Times New Roman" w:hAnsi="Times New Roman" w:cs="Times New Roman"/>
        </w:rPr>
        <w:t>Diener</w:t>
      </w:r>
      <w:proofErr w:type="spellEnd"/>
      <w:r w:rsidRPr="00494525">
        <w:rPr>
          <w:rFonts w:ascii="Times New Roman" w:hAnsi="Times New Roman" w:cs="Times New Roman"/>
        </w:rPr>
        <w:t xml:space="preserve"> : « Cet enfant, mais qu’est-ce que c’est ? » Le cas Ernesto, un enfant </w:t>
      </w:r>
      <w:proofErr w:type="spellStart"/>
      <w:r w:rsidRPr="00494525">
        <w:rPr>
          <w:rFonts w:ascii="Times New Roman" w:hAnsi="Times New Roman" w:cs="Times New Roman"/>
        </w:rPr>
        <w:t>durassien</w:t>
      </w:r>
      <w:proofErr w:type="spellEnd"/>
    </w:p>
    <w:p w:rsidR="00494525" w:rsidRPr="00494525" w:rsidRDefault="00494525" w:rsidP="00494525">
      <w:pPr>
        <w:spacing w:line="276" w:lineRule="auto"/>
        <w:jc w:val="center"/>
        <w:rPr>
          <w:rFonts w:ascii="Times New Roman" w:hAnsi="Times New Roman" w:cs="Times New Roman"/>
        </w:rPr>
      </w:pPr>
    </w:p>
    <w:p w:rsidR="00494525" w:rsidRPr="00494525" w:rsidRDefault="00494525" w:rsidP="00494525">
      <w:pPr>
        <w:spacing w:line="276" w:lineRule="auto"/>
        <w:jc w:val="both"/>
        <w:rPr>
          <w:rFonts w:ascii="Times New Roman" w:hAnsi="Times New Roman" w:cs="Times New Roman"/>
        </w:rPr>
      </w:pPr>
    </w:p>
    <w:p w:rsidR="00494525" w:rsidRPr="00494525" w:rsidRDefault="00494525" w:rsidP="00494525">
      <w:pPr>
        <w:spacing w:line="276" w:lineRule="auto"/>
        <w:rPr>
          <w:rFonts w:ascii="Times New Roman" w:hAnsi="Times New Roman" w:cs="Times New Roman"/>
        </w:rPr>
      </w:pPr>
    </w:p>
    <w:p w:rsidR="00494525" w:rsidRDefault="00494525" w:rsidP="00494525">
      <w:pPr>
        <w:spacing w:line="276" w:lineRule="auto"/>
        <w:rPr>
          <w:rFonts w:ascii="Times New Roman" w:hAnsi="Times New Roman" w:cs="Times New Roman"/>
        </w:rPr>
      </w:pPr>
    </w:p>
    <w:p w:rsidR="00441EBF" w:rsidRDefault="00494525" w:rsidP="00494525">
      <w:pPr>
        <w:tabs>
          <w:tab w:val="left" w:pos="1687"/>
        </w:tabs>
        <w:rPr>
          <w:rFonts w:ascii="Times New Roman" w:hAnsi="Times New Roman" w:cs="Times New Roman"/>
        </w:rPr>
        <w:sectPr w:rsidR="00441EBF" w:rsidSect="008C4118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9E23D4" w:rsidRPr="00494525" w:rsidRDefault="009E23D4" w:rsidP="00494525">
      <w:pPr>
        <w:tabs>
          <w:tab w:val="left" w:pos="1687"/>
        </w:tabs>
        <w:rPr>
          <w:rFonts w:ascii="Times New Roman" w:hAnsi="Times New Roman" w:cs="Times New Roman"/>
        </w:rPr>
      </w:pPr>
    </w:p>
    <w:sectPr w:rsidR="009E23D4" w:rsidRPr="00494525" w:rsidSect="00441EBF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52" w:rsidRDefault="00232452" w:rsidP="001B3596">
      <w:r>
        <w:separator/>
      </w:r>
    </w:p>
  </w:endnote>
  <w:endnote w:type="continuationSeparator" w:id="0">
    <w:p w:rsidR="00232452" w:rsidRDefault="00232452" w:rsidP="001B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52" w:rsidRDefault="00232452" w:rsidP="001B3596">
      <w:r>
        <w:separator/>
      </w:r>
    </w:p>
  </w:footnote>
  <w:footnote w:type="continuationSeparator" w:id="0">
    <w:p w:rsidR="00232452" w:rsidRDefault="00232452" w:rsidP="001B3596">
      <w:r>
        <w:continuationSeparator/>
      </w:r>
    </w:p>
  </w:footnote>
  <w:footnote w:id="1">
    <w:p w:rsidR="004F667D" w:rsidRDefault="004F667D">
      <w:pPr>
        <w:pStyle w:val="Notedebasdepage"/>
      </w:pPr>
      <w:r>
        <w:rPr>
          <w:rStyle w:val="Appelnotedebasdep"/>
        </w:rPr>
        <w:footnoteRef/>
      </w:r>
      <w:r>
        <w:t xml:space="preserve"> Gare Lyon la Part-Dieu.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3596"/>
    <w:rsid w:val="000114A3"/>
    <w:rsid w:val="00043A59"/>
    <w:rsid w:val="000B6F52"/>
    <w:rsid w:val="00157EAC"/>
    <w:rsid w:val="001775B2"/>
    <w:rsid w:val="001B3596"/>
    <w:rsid w:val="001C3D0A"/>
    <w:rsid w:val="00232452"/>
    <w:rsid w:val="00347B1D"/>
    <w:rsid w:val="00377A06"/>
    <w:rsid w:val="00441EBF"/>
    <w:rsid w:val="00494525"/>
    <w:rsid w:val="004F667D"/>
    <w:rsid w:val="00560A6F"/>
    <w:rsid w:val="005E5319"/>
    <w:rsid w:val="00666E76"/>
    <w:rsid w:val="006670FE"/>
    <w:rsid w:val="00696A1F"/>
    <w:rsid w:val="00724A85"/>
    <w:rsid w:val="00771664"/>
    <w:rsid w:val="007F3B70"/>
    <w:rsid w:val="008A39F0"/>
    <w:rsid w:val="008B14D8"/>
    <w:rsid w:val="008B7C53"/>
    <w:rsid w:val="008C4118"/>
    <w:rsid w:val="00972ECD"/>
    <w:rsid w:val="009E23D4"/>
    <w:rsid w:val="009F5599"/>
    <w:rsid w:val="00A83D60"/>
    <w:rsid w:val="00A8737E"/>
    <w:rsid w:val="00B204DF"/>
    <w:rsid w:val="00B270E5"/>
    <w:rsid w:val="00CB7058"/>
    <w:rsid w:val="00CE67C4"/>
    <w:rsid w:val="00D049A6"/>
    <w:rsid w:val="00D13F4A"/>
    <w:rsid w:val="00D87421"/>
    <w:rsid w:val="00DE0901"/>
    <w:rsid w:val="00E50066"/>
    <w:rsid w:val="00E53B75"/>
    <w:rsid w:val="00E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96"/>
    <w:pPr>
      <w:suppressAutoHyphens/>
    </w:pPr>
    <w:rPr>
      <w:rFonts w:ascii="Cambria" w:eastAsia="MS ??" w:hAnsi="Cambria" w:cs="Cambria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1B3596"/>
    <w:rPr>
      <w:vertAlign w:val="superscript"/>
    </w:rPr>
  </w:style>
  <w:style w:type="paragraph" w:styleId="Notedebasdepage">
    <w:name w:val="footnote text"/>
    <w:basedOn w:val="Normal"/>
    <w:link w:val="NotedebasdepageCar"/>
    <w:rsid w:val="001B359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B3596"/>
    <w:rPr>
      <w:rFonts w:ascii="Cambria" w:eastAsia="MS ??" w:hAnsi="Cambria" w:cs="Cambria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4F6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96"/>
    <w:pPr>
      <w:suppressAutoHyphens/>
    </w:pPr>
    <w:rPr>
      <w:rFonts w:ascii="Cambria" w:eastAsia="MS ??" w:hAnsi="Cambria" w:cs="Cambria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1B3596"/>
    <w:rPr>
      <w:vertAlign w:val="superscript"/>
    </w:rPr>
  </w:style>
  <w:style w:type="paragraph" w:styleId="Notedebasdepage">
    <w:name w:val="footnote text"/>
    <w:basedOn w:val="Normal"/>
    <w:link w:val="NotedebasdepageCar"/>
    <w:rsid w:val="001B359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B3596"/>
    <w:rPr>
      <w:rFonts w:ascii="Cambria" w:eastAsia="MS ??" w:hAnsi="Cambria" w:cs="Cambri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DEC1-6737-4B7B-A923-B5DBAE26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Diener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 Yann</dc:creator>
  <cp:keywords/>
  <dc:description/>
  <cp:lastModifiedBy> </cp:lastModifiedBy>
  <cp:revision>10</cp:revision>
  <cp:lastPrinted>2013-05-12T12:26:00Z</cp:lastPrinted>
  <dcterms:created xsi:type="dcterms:W3CDTF">2013-05-12T09:40:00Z</dcterms:created>
  <dcterms:modified xsi:type="dcterms:W3CDTF">2013-09-03T07:42:00Z</dcterms:modified>
</cp:coreProperties>
</file>